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4E5DA2" w:rsidRDefault="004E5DA2" w:rsidP="00DB124A">
      <w:pPr>
        <w:spacing w:after="0" w:line="480" w:lineRule="auto"/>
        <w:jc w:val="center"/>
        <w:rPr>
          <w:rFonts w:ascii="Times New Roman" w:hAnsi="Times New Roman" w:cs="Times New Roman"/>
          <w:sz w:val="24"/>
          <w:szCs w:val="24"/>
        </w:rPr>
      </w:pPr>
    </w:p>
    <w:p w:rsidR="0080412D" w:rsidRDefault="008530DA" w:rsidP="00DB124A">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Process Safety Management</w:t>
      </w:r>
    </w:p>
    <w:bookmarkEnd w:id="0"/>
    <w:p w:rsidR="004E5DA2" w:rsidRDefault="008530DA" w:rsidP="00DB12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5DA2" w:rsidRDefault="008530DA" w:rsidP="00DB12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5DA2" w:rsidRPr="004E5DA2" w:rsidRDefault="004E5DA2" w:rsidP="00DB124A">
      <w:pPr>
        <w:spacing w:after="0" w:line="480" w:lineRule="auto"/>
        <w:rPr>
          <w:rFonts w:ascii="Times New Roman" w:hAnsi="Times New Roman" w:cs="Times New Roman"/>
          <w:sz w:val="24"/>
          <w:szCs w:val="24"/>
        </w:rPr>
      </w:pPr>
    </w:p>
    <w:p w:rsidR="004E5DA2" w:rsidRDefault="004E5DA2" w:rsidP="00DB124A">
      <w:pPr>
        <w:spacing w:after="0" w:line="480" w:lineRule="auto"/>
        <w:rPr>
          <w:rFonts w:ascii="Times New Roman" w:hAnsi="Times New Roman" w:cs="Times New Roman"/>
          <w:sz w:val="24"/>
          <w:szCs w:val="24"/>
        </w:rPr>
      </w:pPr>
    </w:p>
    <w:p w:rsidR="004E5DA2" w:rsidRDefault="004E5DA2" w:rsidP="00DB124A">
      <w:pPr>
        <w:spacing w:after="0" w:line="480" w:lineRule="auto"/>
        <w:rPr>
          <w:rFonts w:ascii="Times New Roman" w:hAnsi="Times New Roman" w:cs="Times New Roman"/>
          <w:sz w:val="24"/>
          <w:szCs w:val="24"/>
        </w:rPr>
      </w:pPr>
    </w:p>
    <w:p w:rsidR="004E5DA2" w:rsidRDefault="004E5DA2" w:rsidP="00DB124A">
      <w:pPr>
        <w:spacing w:after="0" w:line="480" w:lineRule="auto"/>
        <w:rPr>
          <w:rFonts w:ascii="Times New Roman" w:hAnsi="Times New Roman" w:cs="Times New Roman"/>
          <w:sz w:val="24"/>
          <w:szCs w:val="24"/>
        </w:rPr>
      </w:pPr>
    </w:p>
    <w:p w:rsidR="004E5DA2" w:rsidRDefault="004E5DA2" w:rsidP="00DB124A">
      <w:pPr>
        <w:spacing w:after="0" w:line="480" w:lineRule="auto"/>
        <w:rPr>
          <w:rFonts w:ascii="Times New Roman" w:hAnsi="Times New Roman" w:cs="Times New Roman"/>
          <w:sz w:val="24"/>
          <w:szCs w:val="24"/>
        </w:rPr>
      </w:pPr>
    </w:p>
    <w:p w:rsidR="00DB124A" w:rsidRDefault="00DB124A">
      <w:pPr>
        <w:rPr>
          <w:rFonts w:ascii="Times New Roman" w:hAnsi="Times New Roman" w:cs="Times New Roman"/>
          <w:sz w:val="24"/>
          <w:szCs w:val="24"/>
        </w:rPr>
      </w:pPr>
      <w:r>
        <w:rPr>
          <w:rFonts w:ascii="Times New Roman" w:hAnsi="Times New Roman" w:cs="Times New Roman"/>
          <w:sz w:val="24"/>
          <w:szCs w:val="24"/>
        </w:rPr>
        <w:br w:type="page"/>
      </w:r>
    </w:p>
    <w:p w:rsidR="004E5DA2" w:rsidRDefault="008530DA" w:rsidP="00DB12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Process Safety Management</w:t>
      </w:r>
      <w:r w:rsidR="005C320F">
        <w:rPr>
          <w:rFonts w:ascii="Times New Roman" w:hAnsi="Times New Roman" w:cs="Times New Roman"/>
          <w:sz w:val="24"/>
          <w:szCs w:val="24"/>
        </w:rPr>
        <w:t xml:space="preserve"> (PSM)</w:t>
      </w:r>
    </w:p>
    <w:p w:rsidR="00705E51" w:rsidRDefault="008530DA" w:rsidP="00DB12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66146">
        <w:rPr>
          <w:rFonts w:ascii="Times New Roman" w:hAnsi="Times New Roman" w:cs="Times New Roman"/>
          <w:sz w:val="24"/>
          <w:szCs w:val="24"/>
        </w:rPr>
        <w:tab/>
      </w:r>
      <w:r>
        <w:rPr>
          <w:rFonts w:ascii="Times New Roman" w:hAnsi="Times New Roman" w:cs="Times New Roman"/>
          <w:sz w:val="24"/>
          <w:szCs w:val="24"/>
        </w:rPr>
        <w:t>Concentrated nitric acid readily form stable hydrates as well as decomposes in the presence of heat and light. Also, it</w:t>
      </w:r>
      <w:r w:rsidR="00804A71">
        <w:rPr>
          <w:rFonts w:ascii="Times New Roman" w:hAnsi="Times New Roman" w:cs="Times New Roman"/>
          <w:sz w:val="24"/>
          <w:szCs w:val="24"/>
        </w:rPr>
        <w:t xml:space="preserve"> is</w:t>
      </w:r>
      <w:r>
        <w:rPr>
          <w:rFonts w:ascii="Times New Roman" w:hAnsi="Times New Roman" w:cs="Times New Roman"/>
          <w:sz w:val="24"/>
          <w:szCs w:val="24"/>
        </w:rPr>
        <w:t xml:space="preserve"> a powerful oxidizing agent that reacts vigorously with most non-metallic elements. </w:t>
      </w:r>
      <w:r w:rsidR="00804A71">
        <w:rPr>
          <w:rFonts w:ascii="Times New Roman" w:hAnsi="Times New Roman" w:cs="Times New Roman"/>
          <w:sz w:val="24"/>
          <w:szCs w:val="24"/>
        </w:rPr>
        <w:t>Lastly, it reacts with metals to form metal oxides. The acid is used in the manufacture of fertilizers and polymers. Besides, it is used as an oxidizer in rocket fuels. Its primary hazards skin burns due to its corrosive nature as well as irritation and damage to throats, eyes, and mucous membrane. The occupational exposure limit</w:t>
      </w:r>
      <w:r w:rsidR="00084560">
        <w:rPr>
          <w:rFonts w:ascii="Times New Roman" w:hAnsi="Times New Roman" w:cs="Times New Roman"/>
          <w:sz w:val="24"/>
          <w:szCs w:val="24"/>
        </w:rPr>
        <w:t xml:space="preserve"> (OEL)</w:t>
      </w:r>
      <w:r w:rsidR="00804A71">
        <w:rPr>
          <w:rFonts w:ascii="Times New Roman" w:hAnsi="Times New Roman" w:cs="Times New Roman"/>
          <w:sz w:val="24"/>
          <w:szCs w:val="24"/>
        </w:rPr>
        <w:t xml:space="preserve"> for nitric acid </w:t>
      </w:r>
      <w:r w:rsidR="005C320F">
        <w:rPr>
          <w:rFonts w:ascii="Times New Roman" w:hAnsi="Times New Roman" w:cs="Times New Roman"/>
          <w:sz w:val="24"/>
          <w:szCs w:val="24"/>
        </w:rPr>
        <w:t>is 2ppm, for hydrogen peroxide 1ppm, and 0.1 mg/ m</w:t>
      </w:r>
      <w:r w:rsidR="005C320F">
        <w:rPr>
          <w:rFonts w:ascii="Times New Roman" w:hAnsi="Times New Roman" w:cs="Times New Roman"/>
          <w:sz w:val="24"/>
          <w:szCs w:val="24"/>
          <w:vertAlign w:val="superscript"/>
        </w:rPr>
        <w:t>3</w:t>
      </w:r>
      <w:r w:rsidR="005C320F">
        <w:rPr>
          <w:rFonts w:ascii="Times New Roman" w:hAnsi="Times New Roman" w:cs="Times New Roman"/>
          <w:sz w:val="24"/>
          <w:szCs w:val="24"/>
        </w:rPr>
        <w:t xml:space="preserve"> averaged over 8 working hours. </w:t>
      </w:r>
    </w:p>
    <w:p w:rsidR="004E5DA2" w:rsidRDefault="008530DA" w:rsidP="00DB12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Prevention and minimization of the effects of oxidizer-related incidents are possible through the PSM framework. </w:t>
      </w:r>
      <w:r w:rsidR="005C320F">
        <w:rPr>
          <w:rFonts w:ascii="Times New Roman" w:hAnsi="Times New Roman" w:cs="Times New Roman"/>
          <w:sz w:val="24"/>
          <w:szCs w:val="24"/>
        </w:rPr>
        <w:t xml:space="preserve">The PSM requires employers to carry out process hazard analysis to identify, examine, and manage safety risks. Also, employers are required to </w:t>
      </w:r>
      <w:r w:rsidR="00781F6D">
        <w:rPr>
          <w:rFonts w:ascii="Times New Roman" w:hAnsi="Times New Roman" w:cs="Times New Roman"/>
          <w:sz w:val="24"/>
          <w:szCs w:val="24"/>
        </w:rPr>
        <w:t xml:space="preserve">evaluate the severity of process hazards, process duration, potentially-affected employees, and operating history (29 CFR 1910. 119 (e) (1)).  Besides, employers should </w:t>
      </w:r>
      <w:r w:rsidR="00DB124A">
        <w:rPr>
          <w:rFonts w:ascii="Times New Roman" w:hAnsi="Times New Roman" w:cs="Times New Roman"/>
          <w:sz w:val="24"/>
          <w:szCs w:val="24"/>
        </w:rPr>
        <w:t xml:space="preserve">ensure </w:t>
      </w:r>
      <w:r w:rsidR="00781F6D">
        <w:rPr>
          <w:rFonts w:ascii="Times New Roman" w:hAnsi="Times New Roman" w:cs="Times New Roman"/>
          <w:sz w:val="24"/>
          <w:szCs w:val="24"/>
        </w:rPr>
        <w:t>the equipment comply with universal engineering guidelines (29 CFR 1910. 119 (d) (3) (ii)). In this regard, equipment should be constructed based on standards, codes, and practices as well as maintained, tested, and inspected to ensure that they are operating safely (29 CFR 1910. 119 (d) (3) (iii).</w:t>
      </w:r>
    </w:p>
    <w:p w:rsidR="00AF786E" w:rsidRDefault="008530DA" w:rsidP="00DB12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PSM standard is essential to a fertilizer manufacturing facility since </w:t>
      </w:r>
      <w:r w:rsidR="00705E51">
        <w:rPr>
          <w:rFonts w:ascii="Times New Roman" w:hAnsi="Times New Roman" w:cs="Times New Roman"/>
          <w:sz w:val="24"/>
          <w:szCs w:val="24"/>
        </w:rPr>
        <w:t xml:space="preserve">it involves the usage of chemicals such as </w:t>
      </w:r>
      <w:r w:rsidR="00084560">
        <w:rPr>
          <w:rFonts w:ascii="Times New Roman" w:hAnsi="Times New Roman" w:cs="Times New Roman"/>
          <w:sz w:val="24"/>
          <w:szCs w:val="24"/>
        </w:rPr>
        <w:t xml:space="preserve">concentrated </w:t>
      </w:r>
      <w:r w:rsidR="00705E51">
        <w:rPr>
          <w:rFonts w:ascii="Times New Roman" w:hAnsi="Times New Roman" w:cs="Times New Roman"/>
          <w:sz w:val="24"/>
          <w:szCs w:val="24"/>
        </w:rPr>
        <w:t>nitric acid that can exceed the required threshold quantities; therefore, making the employees to be less vulnerable to health risks. The PSM standard requires employers to develop process hazard analysis that encompasses safety management policies</w:t>
      </w:r>
      <w:r w:rsidR="00084560">
        <w:rPr>
          <w:rFonts w:ascii="Times New Roman" w:hAnsi="Times New Roman" w:cs="Times New Roman"/>
          <w:sz w:val="24"/>
          <w:szCs w:val="24"/>
        </w:rPr>
        <w:t xml:space="preserve"> (29 CFR 1910. 119 (c) (3)</w:t>
      </w:r>
      <w:r w:rsidR="00705E51">
        <w:rPr>
          <w:rFonts w:ascii="Times New Roman" w:hAnsi="Times New Roman" w:cs="Times New Roman"/>
          <w:sz w:val="24"/>
          <w:szCs w:val="24"/>
        </w:rPr>
        <w:t xml:space="preserve">. As a result, the fertilizer can reduce or prevent injuries to employees due to exposure </w:t>
      </w:r>
      <w:r w:rsidR="00084560">
        <w:rPr>
          <w:rFonts w:ascii="Times New Roman" w:hAnsi="Times New Roman" w:cs="Times New Roman"/>
          <w:sz w:val="24"/>
          <w:szCs w:val="24"/>
        </w:rPr>
        <w:t xml:space="preserve">concentrated nitric acid. Besides, the standard enables the facility to identify and </w:t>
      </w:r>
      <w:r w:rsidR="00084560">
        <w:rPr>
          <w:rFonts w:ascii="Times New Roman" w:hAnsi="Times New Roman" w:cs="Times New Roman"/>
          <w:sz w:val="24"/>
          <w:szCs w:val="24"/>
        </w:rPr>
        <w:lastRenderedPageBreak/>
        <w:t xml:space="preserve">comprehend potential hazards within the manufacturing process. Information on concentrated nitric acid as well as the process </w:t>
      </w:r>
      <w:r w:rsidR="00A139F5">
        <w:rPr>
          <w:rFonts w:ascii="Times New Roman" w:hAnsi="Times New Roman" w:cs="Times New Roman"/>
          <w:sz w:val="24"/>
          <w:szCs w:val="24"/>
        </w:rPr>
        <w:t xml:space="preserve">technology is documented. </w:t>
      </w:r>
      <w:r w:rsidR="00084560">
        <w:rPr>
          <w:rFonts w:ascii="Times New Roman" w:hAnsi="Times New Roman" w:cs="Times New Roman"/>
          <w:sz w:val="24"/>
          <w:szCs w:val="24"/>
        </w:rPr>
        <w:t xml:space="preserve">Therefore, the facility will perform exposure measures and ensure that the OEL for nitric acid does not exceed 2ppm over an average of 8 working hours. </w:t>
      </w:r>
      <w:r w:rsidR="00A139F5">
        <w:rPr>
          <w:rFonts w:ascii="Times New Roman" w:hAnsi="Times New Roman" w:cs="Times New Roman"/>
          <w:sz w:val="24"/>
          <w:szCs w:val="24"/>
        </w:rPr>
        <w:t>All dermal exposures are addressed and proper protective clothing worn at all times.</w:t>
      </w:r>
    </w:p>
    <w:p w:rsidR="00A139F5" w:rsidRDefault="008530DA" w:rsidP="00DB12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Moreover, the </w:t>
      </w:r>
      <w:r w:rsidR="00DC37A5">
        <w:rPr>
          <w:rFonts w:ascii="Times New Roman" w:hAnsi="Times New Roman" w:cs="Times New Roman"/>
          <w:sz w:val="24"/>
          <w:szCs w:val="24"/>
        </w:rPr>
        <w:t xml:space="preserve">PSM Standard ensures that the safety data sheets containing information on concentrated nitric acid are used in compliance with safety requirements (29 CFR 1910. (d) (1) (vii). In this regard, the employees are aware of material handling, specialized processing equipment, and storage equipment for the acid. Besides, the facility has installed emergency facilities that administer treatment to employees in case of incidents involving the acid. Drenching and flushing equipment is available for eye and body treatment in cases of accidental exposure. </w:t>
      </w:r>
      <w:r w:rsidR="00492CE8">
        <w:rPr>
          <w:rFonts w:ascii="Times New Roman" w:hAnsi="Times New Roman" w:cs="Times New Roman"/>
          <w:sz w:val="24"/>
          <w:szCs w:val="24"/>
        </w:rPr>
        <w:t>Also, the facility has a fertilizer manufacturing chemistry and block flow diagram to limit exposure to the acid. Besides, it has maximum intended inventory as well as upper and lower limits of parameters such as temperatures, concentrations, and pressure (29 CFR 1910. (d) (2) (i) (D). As a result, the facility can quickly identify deviations that are likely to affect the employees. Information on fertilizer manufacturing equipment such as materials, instrument diagrams, piping, electrical classification, ventilation system, designs codes, energy balances, and safety systems is documented to align with OSHA regulatory compliance. Most importantly, the standard has enabled the facility to identify previous accidental exposures to prevent the occurrence of the same in the future.</w:t>
      </w:r>
    </w:p>
    <w:p w:rsidR="00492CE8" w:rsidRDefault="00492CE8" w:rsidP="00DB124A">
      <w:pPr>
        <w:spacing w:after="0" w:line="480" w:lineRule="auto"/>
        <w:rPr>
          <w:rFonts w:ascii="Times New Roman" w:hAnsi="Times New Roman" w:cs="Times New Roman"/>
          <w:sz w:val="24"/>
          <w:szCs w:val="24"/>
        </w:rPr>
      </w:pPr>
    </w:p>
    <w:p w:rsidR="00492CE8" w:rsidRDefault="00492CE8" w:rsidP="00DB124A">
      <w:pPr>
        <w:spacing w:after="0" w:line="480" w:lineRule="auto"/>
        <w:rPr>
          <w:rFonts w:ascii="Times New Roman" w:hAnsi="Times New Roman" w:cs="Times New Roman"/>
          <w:sz w:val="24"/>
          <w:szCs w:val="24"/>
        </w:rPr>
      </w:pPr>
    </w:p>
    <w:p w:rsidR="00DB124A" w:rsidRDefault="00DB124A">
      <w:pPr>
        <w:rPr>
          <w:rFonts w:ascii="Times New Roman" w:hAnsi="Times New Roman" w:cs="Times New Roman"/>
          <w:sz w:val="24"/>
          <w:szCs w:val="24"/>
        </w:rPr>
      </w:pPr>
      <w:r>
        <w:rPr>
          <w:rFonts w:ascii="Times New Roman" w:hAnsi="Times New Roman" w:cs="Times New Roman"/>
          <w:sz w:val="24"/>
          <w:szCs w:val="24"/>
        </w:rPr>
        <w:br w:type="page"/>
      </w:r>
    </w:p>
    <w:p w:rsidR="00492CE8" w:rsidRDefault="008530DA" w:rsidP="00DB12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92CE8" w:rsidRPr="004E5DA2" w:rsidRDefault="008530DA" w:rsidP="00DB12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United States Department of Labor. (n. d). Process safety management of highly hazardous</w:t>
      </w:r>
      <w:r w:rsidR="00DB124A">
        <w:rPr>
          <w:rFonts w:ascii="Times New Roman" w:hAnsi="Times New Roman" w:cs="Times New Roman"/>
          <w:sz w:val="24"/>
          <w:szCs w:val="24"/>
        </w:rPr>
        <w:t xml:space="preserve"> </w:t>
      </w:r>
      <w:r>
        <w:rPr>
          <w:rFonts w:ascii="Times New Roman" w:hAnsi="Times New Roman" w:cs="Times New Roman"/>
          <w:sz w:val="24"/>
          <w:szCs w:val="24"/>
        </w:rPr>
        <w:t>chemicals. Retrieved from</w:t>
      </w:r>
      <w:r w:rsidR="00DB124A">
        <w:rPr>
          <w:rFonts w:ascii="Times New Roman" w:hAnsi="Times New Roman" w:cs="Times New Roman"/>
          <w:sz w:val="24"/>
          <w:szCs w:val="24"/>
        </w:rPr>
        <w:t xml:space="preserve"> </w:t>
      </w:r>
      <w:hyperlink r:id="rId6" w:history="1">
        <w:r w:rsidRPr="00492CE8">
          <w:rPr>
            <w:rStyle w:val="Hyperlink"/>
            <w:rFonts w:ascii="Times New Roman" w:hAnsi="Times New Roman" w:cs="Times New Roman"/>
            <w:sz w:val="24"/>
            <w:szCs w:val="24"/>
          </w:rPr>
          <w:t>https://www.osha.gov/laws-regs/regulations/standardnumber/1910/1910.119</w:t>
        </w:r>
      </w:hyperlink>
    </w:p>
    <w:sectPr w:rsidR="00492CE8" w:rsidRPr="004E5DA2" w:rsidSect="002277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226" w:rsidRDefault="00B43226">
      <w:pPr>
        <w:spacing w:after="0" w:line="240" w:lineRule="auto"/>
      </w:pPr>
      <w:r>
        <w:separator/>
      </w:r>
    </w:p>
  </w:endnote>
  <w:endnote w:type="continuationSeparator" w:id="0">
    <w:p w:rsidR="00B43226" w:rsidRDefault="00B43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226" w:rsidRDefault="00B43226">
      <w:pPr>
        <w:spacing w:after="0" w:line="240" w:lineRule="auto"/>
      </w:pPr>
      <w:r>
        <w:separator/>
      </w:r>
    </w:p>
  </w:footnote>
  <w:footnote w:type="continuationSeparator" w:id="0">
    <w:p w:rsidR="00B43226" w:rsidRDefault="00B43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A2" w:rsidRPr="004E5DA2" w:rsidRDefault="008530DA" w:rsidP="004E5DA2">
    <w:pPr>
      <w:pStyle w:val="Header"/>
      <w:spacing w:line="480" w:lineRule="auto"/>
      <w:rPr>
        <w:rFonts w:ascii="Times New Roman" w:hAnsi="Times New Roman" w:cs="Times New Roman"/>
        <w:sz w:val="24"/>
        <w:szCs w:val="24"/>
      </w:rPr>
    </w:pPr>
    <w:r w:rsidRPr="004E5DA2">
      <w:rPr>
        <w:rFonts w:ascii="Times New Roman" w:hAnsi="Times New Roman" w:cs="Times New Roman"/>
        <w:sz w:val="24"/>
        <w:szCs w:val="24"/>
      </w:rPr>
      <w:t>OSHA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5DA2">
      <w:rPr>
        <w:rFonts w:ascii="Times New Roman" w:hAnsi="Times New Roman" w:cs="Times New Roman"/>
        <w:sz w:val="24"/>
        <w:szCs w:val="24"/>
      </w:rPr>
      <w:t xml:space="preserve"> </w:t>
    </w:r>
    <w:sdt>
      <w:sdtPr>
        <w:rPr>
          <w:rFonts w:ascii="Times New Roman" w:hAnsi="Times New Roman" w:cs="Times New Roman"/>
          <w:sz w:val="24"/>
          <w:szCs w:val="24"/>
        </w:rPr>
        <w:id w:val="-707173980"/>
        <w:docPartObj>
          <w:docPartGallery w:val="Page Numbers (Top of Page)"/>
          <w:docPartUnique/>
        </w:docPartObj>
      </w:sdtPr>
      <w:sdtEndPr>
        <w:rPr>
          <w:noProof/>
        </w:rPr>
      </w:sdtEndPr>
      <w:sdtContent>
        <w:r w:rsidRPr="004E5DA2">
          <w:rPr>
            <w:rFonts w:ascii="Times New Roman" w:hAnsi="Times New Roman" w:cs="Times New Roman"/>
            <w:sz w:val="24"/>
            <w:szCs w:val="24"/>
          </w:rPr>
          <w:fldChar w:fldCharType="begin"/>
        </w:r>
        <w:r w:rsidRPr="004E5DA2">
          <w:rPr>
            <w:rFonts w:ascii="Times New Roman" w:hAnsi="Times New Roman" w:cs="Times New Roman"/>
            <w:sz w:val="24"/>
            <w:szCs w:val="24"/>
          </w:rPr>
          <w:instrText xml:space="preserve"> PAGE   \* MERGEFORMAT </w:instrText>
        </w:r>
        <w:r w:rsidRPr="004E5DA2">
          <w:rPr>
            <w:rFonts w:ascii="Times New Roman" w:hAnsi="Times New Roman" w:cs="Times New Roman"/>
            <w:sz w:val="24"/>
            <w:szCs w:val="24"/>
          </w:rPr>
          <w:fldChar w:fldCharType="separate"/>
        </w:r>
        <w:r w:rsidR="00DB124A">
          <w:rPr>
            <w:rFonts w:ascii="Times New Roman" w:hAnsi="Times New Roman" w:cs="Times New Roman"/>
            <w:noProof/>
            <w:sz w:val="24"/>
            <w:szCs w:val="24"/>
          </w:rPr>
          <w:t>2</w:t>
        </w:r>
        <w:r w:rsidRPr="004E5DA2">
          <w:rPr>
            <w:rFonts w:ascii="Times New Roman" w:hAnsi="Times New Roman" w:cs="Times New Roman"/>
            <w:noProof/>
            <w:sz w:val="24"/>
            <w:szCs w:val="24"/>
          </w:rPr>
          <w:fldChar w:fldCharType="end"/>
        </w:r>
      </w:sdtContent>
    </w:sdt>
  </w:p>
  <w:p w:rsidR="004E5DA2" w:rsidRDefault="004E5D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788" w:rsidRPr="00227788" w:rsidRDefault="008530DA" w:rsidP="00227788">
    <w:pPr>
      <w:pStyle w:val="Header"/>
      <w:spacing w:line="480" w:lineRule="auto"/>
      <w:rPr>
        <w:rFonts w:ascii="Times New Roman" w:hAnsi="Times New Roman" w:cs="Times New Roman"/>
        <w:sz w:val="24"/>
        <w:szCs w:val="24"/>
      </w:rPr>
    </w:pPr>
    <w:r w:rsidRPr="00227788">
      <w:rPr>
        <w:rFonts w:ascii="Times New Roman" w:hAnsi="Times New Roman" w:cs="Times New Roman"/>
        <w:sz w:val="24"/>
        <w:szCs w:val="24"/>
      </w:rPr>
      <w:t>Running head: OSHA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27788">
      <w:rPr>
        <w:rFonts w:ascii="Times New Roman" w:hAnsi="Times New Roman" w:cs="Times New Roman"/>
        <w:sz w:val="24"/>
        <w:szCs w:val="24"/>
      </w:rPr>
      <w:t xml:space="preserve"> </w:t>
    </w:r>
    <w:sdt>
      <w:sdtPr>
        <w:rPr>
          <w:rFonts w:ascii="Times New Roman" w:hAnsi="Times New Roman" w:cs="Times New Roman"/>
          <w:sz w:val="24"/>
          <w:szCs w:val="24"/>
        </w:rPr>
        <w:id w:val="-1030945348"/>
        <w:docPartObj>
          <w:docPartGallery w:val="Page Numbers (Top of Page)"/>
          <w:docPartUnique/>
        </w:docPartObj>
      </w:sdtPr>
      <w:sdtEndPr>
        <w:rPr>
          <w:noProof/>
        </w:rPr>
      </w:sdtEndPr>
      <w:sdtContent>
        <w:r w:rsidRPr="00227788">
          <w:rPr>
            <w:rFonts w:ascii="Times New Roman" w:hAnsi="Times New Roman" w:cs="Times New Roman"/>
            <w:sz w:val="24"/>
            <w:szCs w:val="24"/>
          </w:rPr>
          <w:fldChar w:fldCharType="begin"/>
        </w:r>
        <w:r w:rsidRPr="00227788">
          <w:rPr>
            <w:rFonts w:ascii="Times New Roman" w:hAnsi="Times New Roman" w:cs="Times New Roman"/>
            <w:sz w:val="24"/>
            <w:szCs w:val="24"/>
          </w:rPr>
          <w:instrText xml:space="preserve"> PAGE   \* MERGEFORMAT </w:instrText>
        </w:r>
        <w:r w:rsidRPr="00227788">
          <w:rPr>
            <w:rFonts w:ascii="Times New Roman" w:hAnsi="Times New Roman" w:cs="Times New Roman"/>
            <w:sz w:val="24"/>
            <w:szCs w:val="24"/>
          </w:rPr>
          <w:fldChar w:fldCharType="separate"/>
        </w:r>
        <w:r w:rsidR="00DB124A">
          <w:rPr>
            <w:rFonts w:ascii="Times New Roman" w:hAnsi="Times New Roman" w:cs="Times New Roman"/>
            <w:noProof/>
            <w:sz w:val="24"/>
            <w:szCs w:val="24"/>
          </w:rPr>
          <w:t>1</w:t>
        </w:r>
        <w:r w:rsidRPr="00227788">
          <w:rPr>
            <w:rFonts w:ascii="Times New Roman" w:hAnsi="Times New Roman" w:cs="Times New Roman"/>
            <w:noProof/>
            <w:sz w:val="24"/>
            <w:szCs w:val="24"/>
          </w:rPr>
          <w:fldChar w:fldCharType="end"/>
        </w:r>
      </w:sdtContent>
    </w:sdt>
  </w:p>
  <w:p w:rsidR="00227788" w:rsidRDefault="002277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788"/>
    <w:rsid w:val="00084560"/>
    <w:rsid w:val="000D0ADC"/>
    <w:rsid w:val="001D2666"/>
    <w:rsid w:val="00227788"/>
    <w:rsid w:val="00266146"/>
    <w:rsid w:val="00492CE8"/>
    <w:rsid w:val="004E5DA2"/>
    <w:rsid w:val="005C320F"/>
    <w:rsid w:val="00705E51"/>
    <w:rsid w:val="00781F6D"/>
    <w:rsid w:val="0080412D"/>
    <w:rsid w:val="00804A71"/>
    <w:rsid w:val="008530DA"/>
    <w:rsid w:val="00952C54"/>
    <w:rsid w:val="00A139F5"/>
    <w:rsid w:val="00AF786E"/>
    <w:rsid w:val="00B43226"/>
    <w:rsid w:val="00BD4F4E"/>
    <w:rsid w:val="00DB124A"/>
    <w:rsid w:val="00DC3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124EF"/>
  <w15:docId w15:val="{28F8F527-1620-45AE-975F-CF798555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788"/>
  </w:style>
  <w:style w:type="paragraph" w:styleId="Footer">
    <w:name w:val="footer"/>
    <w:basedOn w:val="Normal"/>
    <w:link w:val="FooterChar"/>
    <w:uiPriority w:val="99"/>
    <w:unhideWhenUsed/>
    <w:rsid w:val="00227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788"/>
  </w:style>
  <w:style w:type="character" w:styleId="Hyperlink">
    <w:name w:val="Hyperlink"/>
    <w:basedOn w:val="DefaultParagraphFont"/>
    <w:uiPriority w:val="99"/>
    <w:unhideWhenUsed/>
    <w:rsid w:val="00492C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ha.gov/laws-regs/regulations/standardnumber/1910/1910.11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2019-07-28T18:03:00Z</dcterms:created>
  <dcterms:modified xsi:type="dcterms:W3CDTF">2019-07-28T18:03:00Z</dcterms:modified>
</cp:coreProperties>
</file>